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0AD4" w14:textId="77777777" w:rsidR="007C168F" w:rsidRDefault="007C168F" w:rsidP="007C168F">
      <w:r>
        <w:t>Кодекс на однесување за ROCKWOOL Group</w:t>
      </w:r>
    </w:p>
    <w:p w14:paraId="0A3A650C" w14:textId="77777777" w:rsidR="007C168F" w:rsidRDefault="007C168F" w:rsidP="007C168F">
      <w:pPr>
        <w:numPr>
          <w:ilvl w:val="0"/>
          <w:numId w:val="1"/>
        </w:numPr>
        <w:pBdr>
          <w:top w:val="nil"/>
          <w:left w:val="nil"/>
          <w:bottom w:val="nil"/>
          <w:right w:val="nil"/>
          <w:between w:val="nil"/>
        </w:pBdr>
        <w:rPr>
          <w:color w:val="000000"/>
        </w:rPr>
      </w:pPr>
      <w:r>
        <w:rPr>
          <w:color w:val="000000"/>
        </w:rPr>
        <w:t xml:space="preserve">Вовед </w:t>
      </w:r>
    </w:p>
    <w:p w14:paraId="7D4344EA" w14:textId="77777777" w:rsidR="007C168F" w:rsidRDefault="007C168F" w:rsidP="007C168F">
      <w:r>
        <w:t xml:space="preserve">Овој Кодекс на однесување (CoC) го објаснува значењето на „интегритетот“ и нашите вредности во ROCKWOOL Group и ги опишува очекувањата на нашите вработени. За нас интегритет значи чесност и цврсти морални принципи. Интегритетот е вграден во историјата на ROCKWOOL Group и го формира камен-темелникот на начинот на водење бизнис ROCKWOOL. Амбициозните и способни вработени кои се однесуваат со интегритет се деловните фактори на Групацијата за постигнување долгорочен деловен успех. </w:t>
      </w:r>
    </w:p>
    <w:p w14:paraId="18B7B0C2" w14:textId="77777777" w:rsidR="007C168F" w:rsidRDefault="007C168F" w:rsidP="007C168F">
      <w:r>
        <w:t xml:space="preserve">Нашиот CoC се однесува на сите вработени, привремени работници, раководството на групата и одборот на директори. Сите поединци треба да бидат запознаени со СоС-от и да постапуваат соодветно. </w:t>
      </w:r>
    </w:p>
    <w:p w14:paraId="5A04BDBE" w14:textId="77777777" w:rsidR="007C168F" w:rsidRDefault="007C168F" w:rsidP="007C168F">
      <w:r>
        <w:t xml:space="preserve">Кога поединец од Групацијата соработува со луѓе внатре или надвор од Групата и кога приватно користи социјални медиуми во кој било контекст поврзан со Групата, од него/неа се очекува да дејствува со највисоко ниво на интегритет. Ова ќе го зајакне и со тоа ќе го вгради интегритетот во нашата секојдневна работа. Сите вработени во Групацијата мора да се придржуваат до релевантните закони. Групата ги охрабрува вработените да го следат највисокото ниво на интегритет и во нивниот приватен живот. Непочитувањето на CoC може да влијае на вработувањето. </w:t>
      </w:r>
    </w:p>
    <w:p w14:paraId="02F015DE" w14:textId="77777777" w:rsidR="007C168F" w:rsidRDefault="007C168F" w:rsidP="007C168F">
      <w:r>
        <w:t xml:space="preserve">Ние спроведуваме редовни курсеви за оспособување/обука, е-учење и корпоративни информативни кампањи низ Групацијата како би биле  сигурни дека вработените и раководството се запознаени и усогласени со CoC. Комитетот за интегритет на групата ROCKWOOL го надгледува усогласувањето со CoC. Ако не сте сигурни што е опфатено со нашиот CoC или ви требаат дополнителни информации, можете да го прашате вашиот менаџер или да го контактирате Службеникот за интегритет. </w:t>
      </w:r>
    </w:p>
    <w:p w14:paraId="4F839215" w14:textId="77777777" w:rsidR="007C168F" w:rsidRDefault="007C168F" w:rsidP="007C168F">
      <w:r>
        <w:t xml:space="preserve">Секое знаење или сомнеж за неусогласеност со CoC мора веднаш да се пријави кај вашиот менаџер, службеник за интегритет или преку процесот на укажувачи. Не прифаќаме никаква форма на освета/одмазда кон вработените кои со својата добра волја пријавиле вистинска неусогласеност или сомневање за неусогласеност. </w:t>
      </w:r>
    </w:p>
    <w:p w14:paraId="0587FE76" w14:textId="77777777" w:rsidR="007C168F" w:rsidRDefault="007C168F" w:rsidP="007C168F">
      <w:r>
        <w:t>Групацијата ROCKWOOL го потпиша Глобалниот договор на ОН, кој подразбира обврска за одговорно дејствување во областа на човековите права, трудот, животната средина и борбата против корупцијата. Групацијата ROCKWOOL, исто така, има Кодекс на однесување на добавувачите, кој детално ги опишува нашите етички и еколошки очекувања од нашите добавувачи.</w:t>
      </w:r>
    </w:p>
    <w:p w14:paraId="4D399C47" w14:textId="77777777" w:rsidR="007C168F" w:rsidRDefault="007C168F" w:rsidP="007C168F">
      <w:pPr>
        <w:numPr>
          <w:ilvl w:val="0"/>
          <w:numId w:val="1"/>
        </w:numPr>
        <w:pBdr>
          <w:top w:val="nil"/>
          <w:left w:val="nil"/>
          <w:bottom w:val="nil"/>
          <w:right w:val="nil"/>
          <w:between w:val="nil"/>
        </w:pBdr>
        <w:rPr>
          <w:color w:val="000000"/>
        </w:rPr>
      </w:pPr>
      <w:r>
        <w:rPr>
          <w:color w:val="000000"/>
        </w:rPr>
        <w:t xml:space="preserve">Цел и начин на работа на ROCKWOOL Group </w:t>
      </w:r>
    </w:p>
    <w:p w14:paraId="362D3E77" w14:textId="77777777" w:rsidR="007C168F" w:rsidRDefault="007C168F" w:rsidP="007C168F">
      <w:r>
        <w:t xml:space="preserve">Сржта на сè што правиме во Групацијата е сумирана во нашата цел: Ослободете ја природната моќ на каменот за збогатување на модерното живеење Начинот на кој работи ROCKWOOL Group е основата на нашето однесување, нашите одлуки, нашите постапки, нашите резултати и долгорочната иднина на нашиот бизнис. Ја опишува нашата култура, кои сме, како работиме и што сакаме да постигнеме. Исто така, поставува јасна насока за нашата компанија и нашите вработени и не води во нашата внатрешна и надворешна соработка. </w:t>
      </w:r>
    </w:p>
    <w:p w14:paraId="00C21993" w14:textId="77777777" w:rsidR="007C168F" w:rsidRDefault="007C168F" w:rsidP="007C168F">
      <w:r>
        <w:t xml:space="preserve">Начинот на кој работи ROCKWOOL Group се заснова на нашите четири вредности: Амбиција, интегритет, одговорност и ефикасност; и нашите три принципи на управување: да бидеме </w:t>
      </w:r>
      <w:r>
        <w:lastRenderedPageBreak/>
        <w:t xml:space="preserve">одлични во она што го работиме, да поттикнеме профитабилен раст и постојано да ја подобруваме продуктивноста преку обезбедување балансиран пристап кон управувањето што води до добри и одржливи резултати. Исто така, ја нагласува апсолутната неопходност нашите менаџери да бидат одлични лидери на луѓето од ROCKWOOL Group. Нашите луѓе заслужуваат добро лидерство и на секој вработен треба да му биде јасно која е целта и вредноста на нивната улога и како може да придонесе. </w:t>
      </w:r>
    </w:p>
    <w:p w14:paraId="315BD4AD" w14:textId="77777777" w:rsidR="007C168F" w:rsidRDefault="007C168F" w:rsidP="007C168F">
      <w:r>
        <w:t>Нашите вработени треба да носат многу одлуки секој ден, секогаш имајќи го на ум што е долгорочно најдобро за нашите клиенти, нашите вработени, нашите акционери и општеството. Вредностите на ROCKWOOL Group ја обликуваат нашата култура и ги одразуваат нашите посакувани однесувања во компанијата, бидејќи ја доловуваат суштината на нашите принципи и верувања. Тие ја објаснуваат ДНК на нашата компанија, ги зајакнуваат нашите конкурентски предности, го нагласуваат нашиот единствен идентитет и се клучни за вработување, привлекување и задржување на вработени.</w:t>
      </w:r>
    </w:p>
    <w:p w14:paraId="2AFAB423" w14:textId="77777777" w:rsidR="007C168F" w:rsidRDefault="007C168F" w:rsidP="007C168F">
      <w:pPr>
        <w:numPr>
          <w:ilvl w:val="0"/>
          <w:numId w:val="1"/>
        </w:numPr>
        <w:pBdr>
          <w:top w:val="nil"/>
          <w:left w:val="nil"/>
          <w:bottom w:val="nil"/>
          <w:right w:val="nil"/>
          <w:between w:val="nil"/>
        </w:pBdr>
      </w:pPr>
      <w:r>
        <w:rPr>
          <w:color w:val="000000"/>
        </w:rPr>
        <w:t xml:space="preserve">Превенција и борба против измами и корупција </w:t>
      </w:r>
    </w:p>
    <w:p w14:paraId="6EDD6609" w14:textId="77777777" w:rsidR="007C168F" w:rsidRDefault="007C168F" w:rsidP="007C168F">
      <w:r>
        <w:t xml:space="preserve">Нулта толеранција </w:t>
      </w:r>
    </w:p>
    <w:p w14:paraId="3EA05C1F" w14:textId="77777777" w:rsidR="007C168F" w:rsidRDefault="007C168F" w:rsidP="007C168F">
      <w:r>
        <w:t xml:space="preserve">Групацијата ROCKWOOL има нулта толеранција за измама, корупција, мито и стимулативни плаќања. </w:t>
      </w:r>
    </w:p>
    <w:p w14:paraId="28FAE243" w14:textId="77777777" w:rsidR="007C168F" w:rsidRDefault="007C168F" w:rsidP="007C168F">
      <w:r>
        <w:t xml:space="preserve">Ова се однесува на јавните и комерцијалните партнери. Корупцијата и митото ги прекршуваат меѓународните договори и законодавство во повеќето земји. Не смеете да нудите или прифаќате незаконски или несоодветни подароци или компензација во форма на пари или која било друга форма на плаќање или стока како би стекнале деловни или приватни предности. </w:t>
      </w:r>
    </w:p>
    <w:p w14:paraId="3BC6E561" w14:textId="77777777" w:rsidR="007C168F" w:rsidRDefault="007C168F" w:rsidP="007C168F">
      <w:r>
        <w:t xml:space="preserve">Групацијата ја применува својата политика за борба против поткуп на добавувачи, агенти и други трети страни. Како дел од борбата на Групацијата против корупцијата, трети лица се предмет на редовни проценки на ризикот. </w:t>
      </w:r>
    </w:p>
    <w:p w14:paraId="585A8730" w14:textId="77777777" w:rsidR="007C168F" w:rsidRDefault="007C168F" w:rsidP="007C168F">
      <w:r>
        <w:t>Корупцијата ја нарушува пазарната конкуренција и има негативно влијание врз општествата во кои се случува. Посветени сме на усогласеност со националното и меѓународното антикорупциско законодавство. Групата е во согласност со Законот за поткуп на ОК од 2010 година и поставува високи стандарди за спречување и борба против корупцијата.</w:t>
      </w:r>
    </w:p>
    <w:p w14:paraId="24012B2F" w14:textId="77777777" w:rsidR="007C168F" w:rsidRDefault="007C168F" w:rsidP="007C168F">
      <w:pPr>
        <w:numPr>
          <w:ilvl w:val="0"/>
          <w:numId w:val="1"/>
        </w:numPr>
        <w:pBdr>
          <w:top w:val="nil"/>
          <w:left w:val="nil"/>
          <w:bottom w:val="nil"/>
          <w:right w:val="nil"/>
          <w:between w:val="nil"/>
        </w:pBdr>
      </w:pPr>
      <w:r>
        <w:rPr>
          <w:color w:val="000000"/>
        </w:rPr>
        <w:t xml:space="preserve">Подароци и гостопримство </w:t>
      </w:r>
    </w:p>
    <w:p w14:paraId="5BE26F62" w14:textId="77777777" w:rsidR="007C168F" w:rsidRDefault="007C168F" w:rsidP="007C168F">
      <w:r>
        <w:t>Треба да се воздржите од примање подароци од лична природа од деловните партнери. Групата смета дека гостопримството кон клиентите и деловните партнери е природен дел од бизнисот. Употребата на гостопримството мора да биде транспарентна, умерена и во согласност со стандардната индустриска практика. Сите вработени мора да ја следат политиката за подароци и гостопримство на Групацијата</w:t>
      </w:r>
    </w:p>
    <w:p w14:paraId="18D7DD1E" w14:textId="77777777" w:rsidR="007C168F" w:rsidRDefault="007C168F" w:rsidP="007C168F">
      <w:pPr>
        <w:numPr>
          <w:ilvl w:val="0"/>
          <w:numId w:val="1"/>
        </w:numPr>
        <w:pBdr>
          <w:top w:val="nil"/>
          <w:left w:val="nil"/>
          <w:bottom w:val="nil"/>
          <w:right w:val="nil"/>
          <w:between w:val="nil"/>
        </w:pBdr>
        <w:rPr>
          <w:color w:val="000000"/>
        </w:rPr>
      </w:pPr>
      <w:r>
        <w:rPr>
          <w:color w:val="000000"/>
        </w:rPr>
        <w:t xml:space="preserve">Конфликт на интереси </w:t>
      </w:r>
    </w:p>
    <w:p w14:paraId="2C4A8B8F" w14:textId="77777777" w:rsidR="007C168F" w:rsidRDefault="007C168F" w:rsidP="007C168F">
      <w:r>
        <w:t xml:space="preserve">Сите одлуки во Групацијата се засноваат на фактички, комерцијални и финансиски цели со почитување на правилните деловни практики. Конфликтот на интереси е ситуација кога вашите приватни интереси може да влијаат на вашата способност да дејствувате објективно и со тоа може да ја загрозат вашата лојалност и интегритет кон Групацијата. Конфликтот на интереси може да биде внатрешен или надворешен. Во ситуации на можен или вистински конфликт на интереси во Групацијата, мора да го информирате вашиот менаџер и Одборот на оперативната </w:t>
      </w:r>
      <w:r>
        <w:lastRenderedPageBreak/>
        <w:t>компанија. Треба да се избегнуваат деловни односи со семејството и пријателите. Во случаи кога тоа не е изводливо, мора веднаш да го известите вашиот менаџер и раководството на оперативната компанија.</w:t>
      </w:r>
    </w:p>
    <w:p w14:paraId="42D8C79D" w14:textId="77777777" w:rsidR="007C168F" w:rsidRDefault="007C168F" w:rsidP="007C168F">
      <w:pPr>
        <w:numPr>
          <w:ilvl w:val="0"/>
          <w:numId w:val="1"/>
        </w:numPr>
        <w:pBdr>
          <w:top w:val="nil"/>
          <w:left w:val="nil"/>
          <w:bottom w:val="nil"/>
          <w:right w:val="nil"/>
          <w:between w:val="nil"/>
        </w:pBdr>
        <w:rPr>
          <w:color w:val="000000"/>
        </w:rPr>
      </w:pPr>
      <w:r>
        <w:rPr>
          <w:color w:val="000000"/>
        </w:rPr>
        <w:t xml:space="preserve">Закон за пазарна конкуренција и антимонополски закон </w:t>
      </w:r>
    </w:p>
    <w:p w14:paraId="116EA3A3" w14:textId="77777777" w:rsidR="007C168F" w:rsidRDefault="007C168F" w:rsidP="007C168F">
      <w:r>
        <w:t>Групацијата ROCKWOOL е еден од водечките светски производители на камена волна на нашите пазари. Ние се натпреваруваме на фер начин, водени од нашите етички вредности. Групацијата работи во согласност со националните и меѓународните закони за конкуренција и антимонополски закони.</w:t>
      </w:r>
    </w:p>
    <w:p w14:paraId="5C885045" w14:textId="77777777" w:rsidR="007C168F" w:rsidRDefault="007C168F" w:rsidP="007C168F">
      <w:pPr>
        <w:numPr>
          <w:ilvl w:val="0"/>
          <w:numId w:val="1"/>
        </w:numPr>
        <w:pBdr>
          <w:top w:val="nil"/>
          <w:left w:val="nil"/>
          <w:bottom w:val="nil"/>
          <w:right w:val="nil"/>
          <w:between w:val="nil"/>
        </w:pBdr>
        <w:rPr>
          <w:color w:val="000000"/>
        </w:rPr>
      </w:pPr>
      <w:r>
        <w:rPr>
          <w:color w:val="000000"/>
        </w:rPr>
        <w:t xml:space="preserve">Заштита на лични податоци </w:t>
      </w:r>
    </w:p>
    <w:p w14:paraId="747C5FC6" w14:textId="77777777" w:rsidR="007C168F" w:rsidRDefault="007C168F" w:rsidP="007C168F">
      <w:r>
        <w:t>Групацијата ROCKWOOL е посветена на обезбедување високо и соодветно ниво на заштита на личните податоци за да се обезбеди усогласеност со важечките прописи за приватност. Ова вклучува усвојување на збир на Правила за приватност на групата - обврзувачки корпоративни правила на ROCKWOOL Group. Усогласеноста со правилата за заштита на личните податоци е од фундаментално значење за стекнување и одржување на довербата на нашите вработени, клиенти и добавувачи, а со тоа и за заштита на идниот бизнис на Групацијата. Сите вработени мора да ја следат Политиката за заштита на личните податоци на Групацијата.</w:t>
      </w:r>
    </w:p>
    <w:p w14:paraId="627320AB" w14:textId="77777777" w:rsidR="007C168F" w:rsidRDefault="007C168F" w:rsidP="007C168F">
      <w:pPr>
        <w:numPr>
          <w:ilvl w:val="0"/>
          <w:numId w:val="1"/>
        </w:numPr>
        <w:pBdr>
          <w:top w:val="nil"/>
          <w:left w:val="nil"/>
          <w:bottom w:val="nil"/>
          <w:right w:val="nil"/>
          <w:between w:val="nil"/>
        </w:pBdr>
        <w:rPr>
          <w:color w:val="000000"/>
        </w:rPr>
      </w:pPr>
      <w:r>
        <w:rPr>
          <w:color w:val="000000"/>
        </w:rPr>
        <w:t xml:space="preserve">Перење пари </w:t>
      </w:r>
    </w:p>
    <w:p w14:paraId="75B93621" w14:textId="77777777" w:rsidR="007C168F" w:rsidRDefault="007C168F" w:rsidP="007C168F">
      <w:r>
        <w:t>Перењето пари се дефинира како конверзија на пари кои потекнуваат од незаконски активности во средства кои би можеле да се сметаат за легално стекнати. Групацијата не прифаќа учество во какви било активности за перење пари и постапува во согласност со прописите за спречување на перење пари. Сите финансиски трансфери кон и од ROCKWOOL Group мора да бидат транспарентни, следени и документирани.</w:t>
      </w:r>
    </w:p>
    <w:p w14:paraId="5D5E9369" w14:textId="77777777" w:rsidR="007C168F" w:rsidRDefault="007C168F" w:rsidP="007C168F">
      <w:pPr>
        <w:numPr>
          <w:ilvl w:val="0"/>
          <w:numId w:val="1"/>
        </w:numPr>
        <w:pBdr>
          <w:top w:val="nil"/>
          <w:left w:val="nil"/>
          <w:bottom w:val="nil"/>
          <w:right w:val="nil"/>
          <w:between w:val="nil"/>
        </w:pBdr>
        <w:rPr>
          <w:color w:val="000000"/>
        </w:rPr>
      </w:pPr>
      <w:r>
        <w:rPr>
          <w:color w:val="000000"/>
        </w:rPr>
        <w:t xml:space="preserve">Доверливи информации </w:t>
      </w:r>
    </w:p>
    <w:p w14:paraId="104A1411" w14:textId="77777777" w:rsidR="007C168F" w:rsidRDefault="007C168F" w:rsidP="007C168F">
      <w:r>
        <w:t>Доверливи информации се информации до кои некој има пристап во својата работа и не се јавно достапни. Доверливите информации вклучуваат информации за технологијата, знаењето и искуството, цените, трошоците, стратегијата, добавувачите, клиентите итн. Не смеете да откривате доверливи информации на лица кои за тоа немаат правен интерес. Ова се однесува и на колегите и на луѓето надвор од ROCKWOOL Group. Обврската за доверливост исто така се применува откако вработениот ќе ја напушти Групацијата. Погледнете ја Политиката за заштита на лични податоци.</w:t>
      </w:r>
    </w:p>
    <w:p w14:paraId="04F07964" w14:textId="77777777" w:rsidR="007C168F" w:rsidRDefault="007C168F" w:rsidP="007C168F">
      <w:pPr>
        <w:numPr>
          <w:ilvl w:val="0"/>
          <w:numId w:val="1"/>
        </w:numPr>
        <w:pBdr>
          <w:top w:val="nil"/>
          <w:left w:val="nil"/>
          <w:bottom w:val="nil"/>
          <w:right w:val="nil"/>
          <w:between w:val="nil"/>
        </w:pBdr>
        <w:rPr>
          <w:color w:val="000000"/>
        </w:rPr>
      </w:pPr>
      <w:r>
        <w:rPr>
          <w:color w:val="000000"/>
        </w:rPr>
        <w:t xml:space="preserve">Човекови права и работнички права </w:t>
      </w:r>
    </w:p>
    <w:p w14:paraId="186DA10F" w14:textId="77777777" w:rsidR="007C168F" w:rsidRDefault="007C168F" w:rsidP="007C168F">
      <w:r>
        <w:t>Сметаме дека сите луѓе треба да бидат третирани еднакво, со почит и достоинство. Ги почитуваме сите меѓународно признати човекови права, како што се Универзалната декларација за човекови права, Меѓународната повелба за човекови права и 10-те основни конвенции на Меѓународната организација на трудот за нашите вработени, деловните односи и можните влијанија кои би можеле да ги предизвикаме или да придонесеме.</w:t>
      </w:r>
    </w:p>
    <w:p w14:paraId="40C88AF9" w14:textId="77777777" w:rsidR="007C168F" w:rsidRDefault="007C168F" w:rsidP="007C168F">
      <w:r>
        <w:t xml:space="preserve">Редовно ги проценуваме нашите активности за да ги идентификуваме вистинските и потенцијалните влијанија на човековите права што би можеле да ги предизвикаме или да придонесеме. Сметаме дека значаен дијалог и ангажман со потенцијално засегнатите страни е важен за да се обезбеди преземање соодветни мерки за ублажување. </w:t>
      </w:r>
    </w:p>
    <w:p w14:paraId="68885A15" w14:textId="77777777" w:rsidR="007C168F" w:rsidRDefault="007C168F" w:rsidP="007C168F">
      <w:r>
        <w:lastRenderedPageBreak/>
        <w:t xml:space="preserve">Секое прекршување на човековите права и активности за нејзино ублажување мора да се пријави кај вашето раководство или преку јавно достапна алатка за укажувачи. </w:t>
      </w:r>
    </w:p>
    <w:p w14:paraId="51F4B97C" w14:textId="77777777" w:rsidR="007C168F" w:rsidRDefault="007C168F" w:rsidP="007C168F">
      <w:r>
        <w:t>За повеќе детали за нашите одговорности и како се справуваме со човековите права, видете ја нашата Политика за човекови права.</w:t>
      </w:r>
    </w:p>
    <w:p w14:paraId="347CAC6E" w14:textId="77777777" w:rsidR="007C168F" w:rsidRDefault="007C168F" w:rsidP="007C168F">
      <w:pPr>
        <w:numPr>
          <w:ilvl w:val="0"/>
          <w:numId w:val="1"/>
        </w:numPr>
        <w:pBdr>
          <w:top w:val="nil"/>
          <w:left w:val="nil"/>
          <w:bottom w:val="nil"/>
          <w:right w:val="nil"/>
          <w:between w:val="nil"/>
        </w:pBdr>
        <w:rPr>
          <w:color w:val="000000"/>
        </w:rPr>
      </w:pPr>
      <w:r>
        <w:rPr>
          <w:color w:val="000000"/>
        </w:rPr>
        <w:t xml:space="preserve">Безбедност и здравје при работа </w:t>
      </w:r>
    </w:p>
    <w:p w14:paraId="2DEFBE65" w14:textId="77777777" w:rsidR="007C168F" w:rsidRDefault="007C168F" w:rsidP="007C168F">
      <w:r>
        <w:t>Групацијата ROCKWOOL има строги стандарди кога станува збор за сè што потенцијално може да го загрози здравјето и безбедноста на нашите вработени и на другите што работат на нашите локации. Охрабруваме и очекуваме проактивно и безбедно однесување од секој менаџер и вработен. Промовираме превентивни акции („Good Catches“ - навремена акција) и проценки на ризик за да се осигураме дека се преземаат активности за да се елиминираат ризиците и со тоа да се доближиме до нашата крајна цел - нула инциденти за изгубено време. Истите строги стандарди важат за здравјето и безбедноста во однос на примената и употребата на нашите производи. Во соработка со истражувачите и властите, ќе се погрижиме нашите производи да немаат штетни влијанија кога се следат препорачаните упатства за употреба; во спротивно насоките ќе се зајакнат или производството ќе биде изменето или запрено. Погледнете ја нашата политика за животна средина, здравје и безбедност при работа.</w:t>
      </w:r>
    </w:p>
    <w:p w14:paraId="6167F8A3" w14:textId="77777777" w:rsidR="007C168F" w:rsidRDefault="007C168F" w:rsidP="007C168F">
      <w:pPr>
        <w:numPr>
          <w:ilvl w:val="0"/>
          <w:numId w:val="1"/>
        </w:numPr>
        <w:pBdr>
          <w:top w:val="nil"/>
          <w:left w:val="nil"/>
          <w:bottom w:val="nil"/>
          <w:right w:val="nil"/>
          <w:between w:val="nil"/>
        </w:pBdr>
        <w:rPr>
          <w:color w:val="000000"/>
        </w:rPr>
      </w:pPr>
      <w:r>
        <w:rPr>
          <w:color w:val="000000"/>
        </w:rPr>
        <w:t xml:space="preserve">Клима и животна средина </w:t>
      </w:r>
    </w:p>
    <w:p w14:paraId="6CBA7E26" w14:textId="77777777" w:rsidR="007C168F" w:rsidRDefault="007C168F" w:rsidP="007C168F">
      <w:r>
        <w:t>Постојано се стремиме да ги заштитиме луѓето и животната средина од ефектите на нашите процеси. Посветени сме на намалување на влијанието на нашиот бизнис врз животната средина и климата и поставивме цели за тоа да го постигнеме. Се фокусираме на лидерство, обука, споделување знаење и програми за подигање на свеста за да создадеме култура на постојано подобрување. Како минимум, ние се придржуваме со локалното, националното и меѓународното законодавство и постојано се подготвуваме за релевантните претстојни барања. Ние одржуваме ефективни системи за управување со животната средина за да поттикнеме постојано подобрување. Ние соработуваме со нашите добавувачи за да обезбедиме одговорно однесување кон животната средина преку усогласеност со нашиот Кодекс на однесување на добавувачите. Развиваме и применуваме сопствени стандарди за заштита на луѓето и животната средина. Во случаи кога нашите сопствени стандарди ги надминуваат законските барања, нашите стандарди преовлаадуваат. Погледнете ја нашата политика за животна средина, здравје и безбедност при работа.</w:t>
      </w:r>
    </w:p>
    <w:p w14:paraId="49865816" w14:textId="77777777" w:rsidR="007C168F" w:rsidRDefault="007C168F" w:rsidP="007C168F">
      <w:pPr>
        <w:numPr>
          <w:ilvl w:val="0"/>
          <w:numId w:val="1"/>
        </w:numPr>
        <w:pBdr>
          <w:top w:val="nil"/>
          <w:left w:val="nil"/>
          <w:bottom w:val="nil"/>
          <w:right w:val="nil"/>
          <w:between w:val="nil"/>
        </w:pBdr>
        <w:rPr>
          <w:color w:val="000000"/>
        </w:rPr>
      </w:pPr>
      <w:r>
        <w:rPr>
          <w:color w:val="000000"/>
        </w:rPr>
        <w:t xml:space="preserve">Пристап до прекршување на Кодексот на однесување </w:t>
      </w:r>
    </w:p>
    <w:p w14:paraId="41EE2D91" w14:textId="77777777" w:rsidR="007C168F" w:rsidRDefault="007C168F" w:rsidP="007C168F">
      <w:r>
        <w:t>Несоодветното однесување или кое било сомнително несоодветно однесување во врска со овој Кодекс на однесување се истражува од Службеник за интегритет кој ќе советува за понатамошна истрага и ќе се погрижи да се решат слабостите во контролната средина. Вработените кои се однесувале несоодветно во однос на овој Кодекс на однесување може да бидат отпуштени и може да бидат пријавени во полиција. Дополнително, Групацијата може законски да поднесе барања за компензација на штети за загубите.</w:t>
      </w:r>
    </w:p>
    <w:p w14:paraId="6956EAE4" w14:textId="77777777" w:rsidR="007C168F" w:rsidRDefault="007C168F" w:rsidP="007C168F"/>
    <w:p w14:paraId="467E1727" w14:textId="77777777" w:rsidR="007C168F" w:rsidRDefault="007C168F" w:rsidP="007C168F">
      <w:r>
        <w:t>Одобрено од Управниот одбор на 8 февруари 2023 година.</w:t>
      </w:r>
    </w:p>
    <w:p w14:paraId="650E923B" w14:textId="77777777" w:rsidR="00CE51C4" w:rsidRDefault="00CE51C4"/>
    <w:sectPr w:rsidR="00CE5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6392A"/>
    <w:multiLevelType w:val="multilevel"/>
    <w:tmpl w:val="9182B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246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8F"/>
    <w:rsid w:val="00041C9A"/>
    <w:rsid w:val="004728EA"/>
    <w:rsid w:val="007C168F"/>
    <w:rsid w:val="009A53D5"/>
    <w:rsid w:val="00CE51C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C73F"/>
  <w15:chartTrackingRefBased/>
  <w15:docId w15:val="{2B6073E0-83CB-4FAB-BACA-93F8DE1A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68F"/>
    <w:pPr>
      <w:spacing w:line="259" w:lineRule="auto"/>
    </w:pPr>
    <w:rPr>
      <w:rFonts w:ascii="Calibri" w:eastAsia="Calibri" w:hAnsi="Calibri" w:cs="Calibri"/>
      <w:kern w:val="0"/>
      <w:sz w:val="22"/>
      <w:szCs w:val="22"/>
      <w:lang w:val="mk-MK" w:eastAsia="hr-HR"/>
      <w14:ligatures w14:val="none"/>
    </w:rPr>
  </w:style>
  <w:style w:type="paragraph" w:styleId="Heading1">
    <w:name w:val="heading 1"/>
    <w:basedOn w:val="Normal"/>
    <w:next w:val="Normal"/>
    <w:link w:val="Heading1Char"/>
    <w:uiPriority w:val="9"/>
    <w:qFormat/>
    <w:rsid w:val="007C1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68F"/>
    <w:rPr>
      <w:rFonts w:eastAsiaTheme="majorEastAsia" w:cstheme="majorBidi"/>
      <w:color w:val="272727" w:themeColor="text1" w:themeTint="D8"/>
    </w:rPr>
  </w:style>
  <w:style w:type="paragraph" w:styleId="Title">
    <w:name w:val="Title"/>
    <w:basedOn w:val="Normal"/>
    <w:next w:val="Normal"/>
    <w:link w:val="TitleChar"/>
    <w:uiPriority w:val="10"/>
    <w:qFormat/>
    <w:rsid w:val="007C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68F"/>
    <w:pPr>
      <w:spacing w:before="160"/>
      <w:jc w:val="center"/>
    </w:pPr>
    <w:rPr>
      <w:i/>
      <w:iCs/>
      <w:color w:val="404040" w:themeColor="text1" w:themeTint="BF"/>
    </w:rPr>
  </w:style>
  <w:style w:type="character" w:customStyle="1" w:styleId="QuoteChar">
    <w:name w:val="Quote Char"/>
    <w:basedOn w:val="DefaultParagraphFont"/>
    <w:link w:val="Quote"/>
    <w:uiPriority w:val="29"/>
    <w:rsid w:val="007C168F"/>
    <w:rPr>
      <w:i/>
      <w:iCs/>
      <w:color w:val="404040" w:themeColor="text1" w:themeTint="BF"/>
    </w:rPr>
  </w:style>
  <w:style w:type="paragraph" w:styleId="ListParagraph">
    <w:name w:val="List Paragraph"/>
    <w:basedOn w:val="Normal"/>
    <w:uiPriority w:val="34"/>
    <w:qFormat/>
    <w:rsid w:val="007C168F"/>
    <w:pPr>
      <w:ind w:left="720"/>
      <w:contextualSpacing/>
    </w:pPr>
  </w:style>
  <w:style w:type="character" w:styleId="IntenseEmphasis">
    <w:name w:val="Intense Emphasis"/>
    <w:basedOn w:val="DefaultParagraphFont"/>
    <w:uiPriority w:val="21"/>
    <w:qFormat/>
    <w:rsid w:val="007C168F"/>
    <w:rPr>
      <w:i/>
      <w:iCs/>
      <w:color w:val="0F4761" w:themeColor="accent1" w:themeShade="BF"/>
    </w:rPr>
  </w:style>
  <w:style w:type="paragraph" w:styleId="IntenseQuote">
    <w:name w:val="Intense Quote"/>
    <w:basedOn w:val="Normal"/>
    <w:next w:val="Normal"/>
    <w:link w:val="IntenseQuoteChar"/>
    <w:uiPriority w:val="30"/>
    <w:qFormat/>
    <w:rsid w:val="007C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68F"/>
    <w:rPr>
      <w:i/>
      <w:iCs/>
      <w:color w:val="0F4761" w:themeColor="accent1" w:themeShade="BF"/>
    </w:rPr>
  </w:style>
  <w:style w:type="character" w:styleId="IntenseReference">
    <w:name w:val="Intense Reference"/>
    <w:basedOn w:val="DefaultParagraphFont"/>
    <w:uiPriority w:val="32"/>
    <w:qFormat/>
    <w:rsid w:val="007C16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1800</Words>
  <Characters>10263</Characters>
  <Application>Microsoft Office Word</Application>
  <DocSecurity>0</DocSecurity>
  <Lines>85</Lines>
  <Paragraphs>24</Paragraphs>
  <ScaleCrop>false</ScaleCrop>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Natko Kubelka</dc:creator>
  <cp:keywords/>
  <dc:description/>
  <cp:lastModifiedBy>Natko Kubelka</cp:lastModifiedBy>
  <cp:revision>1</cp:revision>
  <dcterms:created xsi:type="dcterms:W3CDTF">2025-03-06T11:44:00Z</dcterms:created>
  <dcterms:modified xsi:type="dcterms:W3CDTF">2025-03-06T11:44:00Z</dcterms:modified>
</cp:coreProperties>
</file>